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2F" w:rsidRDefault="007537C9" w:rsidP="007537C9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7537C9">
        <w:rPr>
          <w:rFonts w:ascii="Arial" w:hAnsi="Arial" w:cs="Arial"/>
          <w:sz w:val="24"/>
          <w:szCs w:val="24"/>
          <w:u w:val="single"/>
        </w:rPr>
        <w:t>Responses to October 21, 2011 Inquiry from Bob Stagg to Demetric Potts</w:t>
      </w:r>
    </w:p>
    <w:p w:rsidR="00522C51" w:rsidRPr="00522C51" w:rsidRDefault="00522C51" w:rsidP="008562F0">
      <w:pPr>
        <w:pStyle w:val="NoSpacing"/>
        <w:ind w:left="2160" w:firstLine="720"/>
        <w:rPr>
          <w:rFonts w:ascii="Arial" w:hAnsi="Arial" w:cs="Arial"/>
          <w:i/>
          <w:sz w:val="24"/>
          <w:szCs w:val="24"/>
        </w:rPr>
      </w:pPr>
      <w:r w:rsidRPr="00522C51">
        <w:rPr>
          <w:rFonts w:ascii="Arial" w:hAnsi="Arial" w:cs="Arial"/>
          <w:i/>
          <w:sz w:val="24"/>
          <w:szCs w:val="24"/>
        </w:rPr>
        <w:t>Scott W. Warren</w:t>
      </w:r>
    </w:p>
    <w:p w:rsidR="00522C51" w:rsidRPr="00522C51" w:rsidRDefault="00522C51" w:rsidP="008562F0">
      <w:pPr>
        <w:pStyle w:val="NoSpacing"/>
        <w:ind w:left="2160" w:firstLine="720"/>
        <w:rPr>
          <w:rFonts w:ascii="Arial" w:hAnsi="Arial" w:cs="Arial"/>
          <w:i/>
          <w:sz w:val="24"/>
          <w:szCs w:val="24"/>
        </w:rPr>
      </w:pPr>
      <w:r w:rsidRPr="00522C51">
        <w:rPr>
          <w:rFonts w:ascii="Arial" w:hAnsi="Arial" w:cs="Arial"/>
          <w:i/>
          <w:sz w:val="24"/>
          <w:szCs w:val="24"/>
        </w:rPr>
        <w:t>Wake Count</w:t>
      </w:r>
      <w:r w:rsidR="00B908AB">
        <w:rPr>
          <w:rFonts w:ascii="Arial" w:hAnsi="Arial" w:cs="Arial"/>
          <w:i/>
          <w:sz w:val="24"/>
          <w:szCs w:val="24"/>
        </w:rPr>
        <w:t>y</w:t>
      </w:r>
      <w:r w:rsidRPr="00522C51">
        <w:rPr>
          <w:rFonts w:ascii="Arial" w:hAnsi="Arial" w:cs="Arial"/>
          <w:i/>
          <w:sz w:val="24"/>
          <w:szCs w:val="24"/>
        </w:rPr>
        <w:t xml:space="preserve"> Attorney</w:t>
      </w:r>
    </w:p>
    <w:p w:rsidR="007537C9" w:rsidRPr="008562F0" w:rsidRDefault="007537C9" w:rsidP="008562F0"/>
    <w:p w:rsidR="007537C9" w:rsidRPr="007537C9" w:rsidRDefault="007537C9" w:rsidP="00753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Yes.</w:t>
      </w:r>
    </w:p>
    <w:p w:rsidR="007537C9" w:rsidRPr="007537C9" w:rsidRDefault="007537C9" w:rsidP="00753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7537C9">
        <w:rPr>
          <w:rFonts w:ascii="Arial" w:hAnsi="Arial" w:cs="Arial"/>
          <w:sz w:val="24"/>
          <w:szCs w:val="24"/>
        </w:rPr>
        <w:t>Simple majority would apply to the Commission as well as its committees.  I cannot think of any matter that would come before the FC requiring more than a simple majority, but it is a term of art to cover a unique circumstance i</w:t>
      </w:r>
      <w:r>
        <w:rPr>
          <w:rFonts w:ascii="Arial" w:hAnsi="Arial" w:cs="Arial"/>
          <w:sz w:val="24"/>
          <w:szCs w:val="24"/>
        </w:rPr>
        <w:t>f needed.  A Board of Adjustment, for example, must approve a special use permit by a 4/5ths vote.  Sometimes a federal or state grant might require more than a simple majority.  Nothing to be concerned with in my opinion.</w:t>
      </w:r>
    </w:p>
    <w:p w:rsidR="00522C51" w:rsidRPr="00522C51" w:rsidRDefault="007537C9" w:rsidP="00753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Attached is a copy of the BOC attendance policy.  It does not differentiate between excused and unexcused absences are there are a lot of good reasons for that.  The term “inexcusable meeting” should be changed and the rules written to conform to BOC policy.  If the FC meets once a month, then</w:t>
      </w:r>
      <w:r w:rsidR="00522C51">
        <w:rPr>
          <w:rFonts w:ascii="Arial" w:hAnsi="Arial" w:cs="Arial"/>
          <w:sz w:val="24"/>
          <w:szCs w:val="24"/>
        </w:rPr>
        <w:t xml:space="preserve"> a maximum of 3 absences is the same as the BOC 75% guideline.</w:t>
      </w:r>
    </w:p>
    <w:p w:rsidR="007537C9" w:rsidRPr="00522C51" w:rsidRDefault="00522C51" w:rsidP="00753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522C51">
        <w:rPr>
          <w:rFonts w:ascii="Arial" w:hAnsi="Arial" w:cs="Arial"/>
          <w:sz w:val="24"/>
          <w:szCs w:val="24"/>
        </w:rPr>
        <w:t>Not sure about (a).</w:t>
      </w:r>
      <w:r w:rsidR="007537C9" w:rsidRPr="00522C51">
        <w:rPr>
          <w:rFonts w:ascii="Arial" w:hAnsi="Arial" w:cs="Arial"/>
          <w:sz w:val="24"/>
          <w:szCs w:val="24"/>
        </w:rPr>
        <w:t xml:space="preserve"> </w:t>
      </w:r>
      <w:r w:rsidRPr="00522C51">
        <w:rPr>
          <w:rFonts w:ascii="Arial" w:hAnsi="Arial" w:cs="Arial"/>
          <w:sz w:val="24"/>
          <w:szCs w:val="24"/>
        </w:rPr>
        <w:t>The Rules should be amended to clarify what this means.</w:t>
      </w:r>
      <w:r>
        <w:rPr>
          <w:rFonts w:ascii="Arial" w:hAnsi="Arial" w:cs="Arial"/>
          <w:sz w:val="24"/>
          <w:szCs w:val="24"/>
        </w:rPr>
        <w:t xml:space="preserve"> As to (b), it is again not clear to me.  I think it means that you would have a regular member and an alternate member</w:t>
      </w:r>
      <w:r w:rsidRPr="00522C51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voting purposes, and then a regional </w:t>
      </w:r>
      <w:proofErr w:type="spellStart"/>
      <w:r>
        <w:rPr>
          <w:rFonts w:ascii="Arial" w:hAnsi="Arial" w:cs="Arial"/>
          <w:sz w:val="24"/>
          <w:szCs w:val="24"/>
        </w:rPr>
        <w:t>non voting</w:t>
      </w:r>
      <w:proofErr w:type="spellEnd"/>
      <w:r>
        <w:rPr>
          <w:rFonts w:ascii="Arial" w:hAnsi="Arial" w:cs="Arial"/>
          <w:sz w:val="24"/>
          <w:szCs w:val="24"/>
        </w:rPr>
        <w:t xml:space="preserve"> member.  Always good to rewrite a rule if it is not easily understood. </w:t>
      </w:r>
    </w:p>
    <w:p w:rsidR="00522C51" w:rsidRPr="00522C51" w:rsidRDefault="00522C51" w:rsidP="00753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Fire Commission can go into closed session like any other public body, and just like the BOC.  A copy of NCGS 143-318.11 is attached.</w:t>
      </w:r>
    </w:p>
    <w:p w:rsidR="00522C51" w:rsidRPr="00522C51" w:rsidRDefault="00522C51" w:rsidP="00753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522C51">
        <w:rPr>
          <w:rFonts w:ascii="Arial" w:hAnsi="Arial" w:cs="Arial"/>
          <w:sz w:val="24"/>
          <w:szCs w:val="24"/>
        </w:rPr>
        <w:t xml:space="preserve">I do not know the history of this rule or how it has been applied.  </w:t>
      </w:r>
      <w:r>
        <w:rPr>
          <w:rFonts w:ascii="Arial" w:hAnsi="Arial" w:cs="Arial"/>
          <w:sz w:val="24"/>
          <w:szCs w:val="24"/>
        </w:rPr>
        <w:t>This rule of course can be clarified or amended if that is the desire of the FC.</w:t>
      </w:r>
    </w:p>
    <w:sectPr w:rsidR="00522C51" w:rsidRPr="0052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62C"/>
    <w:multiLevelType w:val="hybridMultilevel"/>
    <w:tmpl w:val="0F0A3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C9"/>
    <w:rsid w:val="00522C51"/>
    <w:rsid w:val="007537C9"/>
    <w:rsid w:val="008562F0"/>
    <w:rsid w:val="009E3A49"/>
    <w:rsid w:val="00A72F81"/>
    <w:rsid w:val="00B908AB"/>
    <w:rsid w:val="00C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C9"/>
    <w:pPr>
      <w:ind w:left="720"/>
      <w:contextualSpacing/>
    </w:pPr>
  </w:style>
  <w:style w:type="paragraph" w:styleId="NoSpacing">
    <w:name w:val="No Spacing"/>
    <w:uiPriority w:val="1"/>
    <w:qFormat/>
    <w:rsid w:val="00522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C9"/>
    <w:pPr>
      <w:ind w:left="720"/>
      <w:contextualSpacing/>
    </w:pPr>
  </w:style>
  <w:style w:type="paragraph" w:styleId="NoSpacing">
    <w:name w:val="No Spacing"/>
    <w:uiPriority w:val="1"/>
    <w:qFormat/>
    <w:rsid w:val="00522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swarren</dc:creator>
  <cp:lastModifiedBy>Wake County</cp:lastModifiedBy>
  <cp:revision>2</cp:revision>
  <dcterms:created xsi:type="dcterms:W3CDTF">2011-11-09T18:30:00Z</dcterms:created>
  <dcterms:modified xsi:type="dcterms:W3CDTF">2011-11-09T18:30:00Z</dcterms:modified>
</cp:coreProperties>
</file>